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3B" w:rsidRDefault="0066663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6663B" w:rsidRDefault="0066663B">
      <w:pPr>
        <w:pStyle w:val="ConsPlusNormal"/>
        <w:jc w:val="both"/>
        <w:outlineLvl w:val="0"/>
      </w:pPr>
    </w:p>
    <w:p w:rsidR="0066663B" w:rsidRDefault="0066663B">
      <w:pPr>
        <w:pStyle w:val="ConsPlusNormal"/>
        <w:outlineLvl w:val="0"/>
      </w:pPr>
      <w:r>
        <w:t>Зарегистрировано в Минюсте России 28 декабря 2017 г. N 49515</w:t>
      </w:r>
    </w:p>
    <w:p w:rsidR="0066663B" w:rsidRDefault="0066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66663B" w:rsidRDefault="0066663B">
      <w:pPr>
        <w:pStyle w:val="ConsPlusTitle"/>
        <w:jc w:val="both"/>
      </w:pPr>
    </w:p>
    <w:p w:rsidR="0066663B" w:rsidRDefault="0066663B">
      <w:pPr>
        <w:pStyle w:val="ConsPlusTitle"/>
        <w:jc w:val="center"/>
      </w:pPr>
      <w:r>
        <w:t>ПРИКАЗ</w:t>
      </w:r>
    </w:p>
    <w:p w:rsidR="0066663B" w:rsidRDefault="0066663B">
      <w:pPr>
        <w:pStyle w:val="ConsPlusTitle"/>
        <w:jc w:val="center"/>
      </w:pPr>
      <w:r>
        <w:t>от 7 декабря 2017 г. N 614</w:t>
      </w:r>
    </w:p>
    <w:p w:rsidR="0066663B" w:rsidRDefault="0066663B">
      <w:pPr>
        <w:pStyle w:val="ConsPlusTitle"/>
        <w:jc w:val="both"/>
      </w:pPr>
    </w:p>
    <w:p w:rsidR="0066663B" w:rsidRDefault="0066663B">
      <w:pPr>
        <w:pStyle w:val="ConsPlusTitle"/>
        <w:jc w:val="center"/>
      </w:pPr>
      <w:r>
        <w:t>ОБ УТВЕРЖДЕНИИ ВЕТЕРИНАРНЫХ ПРАВИЛ</w:t>
      </w:r>
    </w:p>
    <w:p w:rsidR="0066663B" w:rsidRDefault="0066663B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66663B" w:rsidRDefault="0066663B">
      <w:pPr>
        <w:pStyle w:val="ConsPlusTitle"/>
        <w:jc w:val="center"/>
      </w:pPr>
      <w:r>
        <w:t>ОГРАНИЧИТЕЛЬНЫХ И ИНЫХ МЕРОПРИЯТИЙ, УСТАНОВЛЕНИЯ</w:t>
      </w:r>
    </w:p>
    <w:p w:rsidR="0066663B" w:rsidRDefault="0066663B">
      <w:pPr>
        <w:pStyle w:val="ConsPlusTitle"/>
        <w:jc w:val="center"/>
      </w:pPr>
      <w:r>
        <w:t>И ОТМЕНЫ КАРАНТИНА И ИНЫХ ОГРАНИЧЕНИЙ, НАПРАВЛЕННЫХ</w:t>
      </w:r>
    </w:p>
    <w:p w:rsidR="0066663B" w:rsidRDefault="0066663B">
      <w:pPr>
        <w:pStyle w:val="ConsPlusTitle"/>
        <w:jc w:val="center"/>
      </w:pPr>
      <w:r>
        <w:t>НА ПРЕДОТВРАЩЕНИЕ РАСПРОСТРАНЕНИЯ И ЛИКВИДАЦИЮ ОЧАГОВ</w:t>
      </w:r>
    </w:p>
    <w:p w:rsidR="0066663B" w:rsidRDefault="0066663B">
      <w:pPr>
        <w:pStyle w:val="ConsPlusTitle"/>
        <w:jc w:val="center"/>
      </w:pPr>
      <w:r>
        <w:t>АФРИКАНСКОЙ ЧУМЫ ЛОШАДЕЙ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</w:t>
      </w:r>
      <w:proofErr w:type="gramStart"/>
      <w:r>
        <w:t>2005, N 19, ст. 1752; 2006, N 1, ст. 10; N 52, ст. 5498; 2007, N 1, ст. 29; N 30, ст. 3805; 2008, N 24, ст. 2801; 2009, N 1, ст. 17, ст. 21; 2010, N 50, ст. 6614; 2011, N 1, ст. 6; N 30, ст. 4590; 2015, N 29, ст. 4339, ст. 4359, ст. 4369;</w:t>
      </w:r>
      <w:proofErr w:type="gramEnd"/>
      <w:r>
        <w:t xml:space="preserve">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4251, 4262;</w:t>
      </w:r>
      <w:proofErr w:type="gramEnd"/>
      <w: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t>2013, N 10, ст. 1038; N 29, ст. 3969; N 33, ст. 4386; N 45, ст. 5822; 2014, N 4, ст. 382; N 10, ст. 1035; N 12, ст. 1297; N 28, ст. 4068; 2015, N 2, ст. 491; N 11, ст. 1611, N 26, ст. 3900; N 35, ст. 4981;</w:t>
      </w:r>
      <w:proofErr w:type="gramEnd"/>
      <w:r>
        <w:t xml:space="preserve"> </w:t>
      </w:r>
      <w:proofErr w:type="gramStart"/>
      <w:r>
        <w:t>N 38, ст. 5297; N 47, ст. 6603; 2016, N 2, ст. 325; N 28, ст. 4741; N 33, ст. 5188; N 35, ст. 5349; N 47, ст. 6650; N 49, ст. 6909, ст. 6910), приказываю: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лошадей.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right"/>
      </w:pPr>
      <w:r>
        <w:t>Министр</w:t>
      </w:r>
    </w:p>
    <w:p w:rsidR="0066663B" w:rsidRDefault="0066663B">
      <w:pPr>
        <w:pStyle w:val="ConsPlusNormal"/>
        <w:jc w:val="right"/>
      </w:pPr>
      <w:r>
        <w:t>А.Н.ТКАЧЕВ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right"/>
        <w:outlineLvl w:val="0"/>
      </w:pPr>
      <w:r>
        <w:t>Утверждены</w:t>
      </w:r>
    </w:p>
    <w:p w:rsidR="0066663B" w:rsidRDefault="0066663B">
      <w:pPr>
        <w:pStyle w:val="ConsPlusNormal"/>
        <w:jc w:val="right"/>
      </w:pPr>
      <w:r>
        <w:t>приказом Минсельхоза России</w:t>
      </w:r>
    </w:p>
    <w:p w:rsidR="0066663B" w:rsidRDefault="0066663B">
      <w:pPr>
        <w:pStyle w:val="ConsPlusNormal"/>
        <w:jc w:val="right"/>
      </w:pPr>
      <w:r>
        <w:t>от 7 декабря 2017 г. N 614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66663B" w:rsidRDefault="0066663B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66663B" w:rsidRDefault="0066663B">
      <w:pPr>
        <w:pStyle w:val="ConsPlusTitle"/>
        <w:jc w:val="center"/>
      </w:pPr>
      <w:r>
        <w:t>ОГРАНИЧИТЕЛЬНЫХ И ИНЫХ МЕРОПРИЯТИЙ, УСТАНОВЛЕНИЯ</w:t>
      </w:r>
    </w:p>
    <w:p w:rsidR="0066663B" w:rsidRDefault="0066663B">
      <w:pPr>
        <w:pStyle w:val="ConsPlusTitle"/>
        <w:jc w:val="center"/>
      </w:pPr>
      <w:r>
        <w:t>И ОТМЕНЫ КАРАНТИНА И ИНЫХ ОГРАНИЧЕНИЙ, НАПРАВЛЕННЫХ</w:t>
      </w:r>
    </w:p>
    <w:p w:rsidR="0066663B" w:rsidRDefault="0066663B">
      <w:pPr>
        <w:pStyle w:val="ConsPlusTitle"/>
        <w:jc w:val="center"/>
      </w:pPr>
      <w:r>
        <w:t>НА ПРЕДОТВРАЩЕНИЕ РАСПРОСТРАНЕНИЯ И ЛИКВИДАЦИЮ ОЧАГОВ</w:t>
      </w:r>
    </w:p>
    <w:p w:rsidR="0066663B" w:rsidRDefault="0066663B">
      <w:pPr>
        <w:pStyle w:val="ConsPlusTitle"/>
        <w:jc w:val="center"/>
      </w:pPr>
      <w:r>
        <w:t>АФРИКАНСКОЙ ЧУМЫ ЛОШАДЕЙ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I. Область применения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африканской чумы лошадей (далее - Правила)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</w:t>
      </w:r>
      <w:proofErr w:type="gramEnd"/>
      <w:r>
        <w:t xml:space="preserve"> африканской чумы лошадей (далее - АЧЛ).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2. </w:t>
      </w:r>
      <w:proofErr w:type="gramStart"/>
      <w:r>
        <w:t>Правилами устанавливаются обязательные требования к организации и проведению мероприятий по ликвидации АЧЛ, предотвращению ее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эпизоотического зонирования, включая определение видов зон в целях дифференциации ограничений, установленных решением о введении режима ограничительных</w:t>
      </w:r>
      <w:proofErr w:type="gramEnd"/>
      <w:r>
        <w:t xml:space="preserve">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lastRenderedPageBreak/>
        <w:t>II. Общая характеристика АЧЛ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bookmarkStart w:id="1" w:name="P44"/>
      <w:bookmarkEnd w:id="1"/>
      <w:r>
        <w:t>3. АЧЛ - вирусная болезнь лошадей и других непарнокопытных животных (далее - восприимчивые животные), сопровождающаяся лихорадкой, отеками подкожной клетчатки, кровоизлияниями во внутренних органах и характеризующаяся сверхострым, острым, подострым и хроническим течением. Проявляется АЧЛ в теплое влажное время года.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 естественных условиях наиболее восприимчивы к заболеванию лошади. Менее чувствительны ослы, мулы, лошаки и другие непарнокопытные животные.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Сверхострое течение болезни (лихорадочная форма) у лошадей характеризуется повышением температуры тела до 41</w:t>
      </w:r>
      <w:proofErr w:type="gramStart"/>
      <w:r>
        <w:t xml:space="preserve"> °С</w:t>
      </w:r>
      <w:proofErr w:type="gramEnd"/>
      <w:r>
        <w:t xml:space="preserve"> и выше. Повышенная температура удерживается 1 - 2 дня, а затем снижается до нормы. У лошадей наблюдается конъюнктивит, учащенное дыхание и пульс, мышечная дрожь. Гибель происходит в результате острой сердечной недостаточности на 5 - 7-й день болезни.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Острое течение болезни (легочная форма) у лошадей характеризуется резким повышением температуры тела и затрудненным дыханием. Наблюдается вытягивание шеи, появляется одышка, сухой болезненный кашель и желтоватые истечения из носа. Конъюнктива окрашивается в грязно-красный цвет с желтушным оттенком, появляются слезотечение и светобоязнь. За 24 - 48 часов до гибели лошадей обнаруживается быстропрогрессирующий отек легких, истечение пенистой жидкости из носа, цианоз видимых слизистых оболочек. Продолжительность болезни составляет 10 - 15 дней.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Подострое течение болезни (сердечная или отечная форма) у лошадей характеризуется сильным отеком головы, шеи и постоянным расстройством сердечной деятельности. В отдельных случаях наблюдается отек в области живота. На 10 - 12-й день отеки появляются в обеих височных впадинах. Отеки могут исчезать или увеличиваться и распространяться на голову, язык, в отдельных случаях - на шею и грудную клетку. Видимые слизистые оболочки набухают, пульс становится слабым, учащенным, иногда не прощупывающимся.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Смешанное течение болезни характеризуется одновременно проявлением симптомов лихорадочной, легочной и сердечной формы.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Заболеваемость лошадей достигает 95% в период эпизоотии, смертность - 85%.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У ослов, мулов, лошаков и других непарнокопытных животных течение болезни характеризуется повышением температуры тела до 41</w:t>
      </w:r>
      <w:proofErr w:type="gramStart"/>
      <w:r>
        <w:t xml:space="preserve"> °С</w:t>
      </w:r>
      <w:proofErr w:type="gramEnd"/>
      <w:r>
        <w:t>, учащением пульса, снижением аппетита и одышкой. Болезнь заканчивается выздоровлением.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Переболевшие АЧЛ восприимчивые животные нечувствительны к серотипу того вируса, который вызвал заболевание, но восприимчивы к вирусам других серотипов.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lastRenderedPageBreak/>
        <w:t>4. Возбудителем АЧЛ является РНК-содержащий вирус, относящийся к роду Orbivirus, семейству Reoviridae (далее - возбудитель).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Возбудитель устойчив к воздействию факторов внешней среды, к гниению, сохраняется в замороженных органах и тканях. Возбудитель сохраняется в крови восприимчивых животных 6 дней при температуре окружающей среды 45 °С. Возбудитель инактивируется при температуре 70 °</w:t>
      </w:r>
      <w:proofErr w:type="gramStart"/>
      <w:r>
        <w:t>С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течение 5 минут, при температуре 50 °С в течение 10 минут.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Инкубационный период при АЧЛ составляет до 7 дней.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5. Источником возбудителя являются больные восприимчивые животные.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6. Передача возбудителя осуществляется кровососущими насекомыми.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III. Профилактические мероприятия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r>
        <w:t>7. В целях предотвращения возникновения и распространения АЧЛ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животноводства;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извещать в течение 24 часов специалистов госветслужбы обо всех случаях заболевания или изменения поведения восприимчивых животных, указывающего на возможное заболевание;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принимать меры по изоляции подозреваемых в заболевании восприимчивых животных, а также всех восприимчивых животных, находившихся в одном помещении с подозреваемыми в заболевании восприимчивыми животными, которые могли контактировать с ними, обеспечивать изоляцию трупов павших восприимчивых животных в помещении, в котором они находились;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 хозяйстве, крестьянском (фермерском) хозяйстве, в хозяйстве индивидуального предпринимателя, в организациях и их обособленных подразделениях,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66663B" w:rsidRDefault="0066663B">
      <w:pPr>
        <w:pStyle w:val="ConsPlusNormal"/>
        <w:spacing w:before="280"/>
        <w:ind w:firstLine="540"/>
        <w:jc w:val="both"/>
      </w:pPr>
      <w:proofErr w:type="gramStart"/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</w:t>
      </w:r>
      <w:r>
        <w:lastRenderedPageBreak/>
        <w:t xml:space="preserve">федерального органа исполнительной власти в области ветеринарного надзора о регионализации по АЧЛ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>8. Для профилактики АЧЛ проводится вакцинация восприимчивых животных вакцинами против АЧЛ согласно инструкциям по применению.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IV. Мероприятия при подозрении на АЧЛ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r>
        <w:t>9. Основаниями для подозрения на АЧЛ являются: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наличие у восприимчивых животных клинических признаков, перечисленных в </w:t>
      </w:r>
      <w:hyperlink w:anchor="P44" w:history="1">
        <w:r>
          <w:rPr>
            <w:color w:val="0000FF"/>
          </w:rPr>
          <w:t>пункте 3</w:t>
        </w:r>
      </w:hyperlink>
      <w:r>
        <w:t xml:space="preserve"> Правил;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выявление АЧЛ в хозяйстве, из которого ввезены восприимчивые животные, в течение 30 дней после осуществления их ввоза;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выявление при вскрытии трупов павших восприимчивых животных патологоанатомических изменений, характерных для АЧЛ.</w:t>
      </w:r>
    </w:p>
    <w:p w:rsidR="0066663B" w:rsidRDefault="0066663B">
      <w:pPr>
        <w:pStyle w:val="ConsPlusNormal"/>
        <w:spacing w:before="280"/>
        <w:ind w:firstLine="540"/>
        <w:jc w:val="both"/>
      </w:pPr>
      <w:bookmarkStart w:id="2" w:name="P76"/>
      <w:bookmarkEnd w:id="2"/>
      <w:r>
        <w:t>10. При наличии оснований для подозрения на АЧЛ владельцы восприимчивых животных обязаны: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АЧЛ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подведомственного ему учреждения;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содействовать специалистам госветслужбы в проведении отбора проб биологического и (или) патологического материала восприимчивых животных и направлении проб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АЧЛ (далее - лаборатория);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</w:t>
      </w:r>
      <w:proofErr w:type="gramStart"/>
      <w:r>
        <w:t>за</w:t>
      </w:r>
      <w:proofErr w:type="gramEnd"/>
      <w:r>
        <w:t xml:space="preserve"> последние 30 дней.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11. До получения результатов диагностических исследований на АЧЛ владельцы восприимчивых животных, обязаны: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прекратить убой и вывоз восприимчивых животных и продуктов их убоя из </w:t>
      </w:r>
      <w:r>
        <w:lastRenderedPageBreak/>
        <w:t>хозяйства;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запретить посещение хозяйств физическими лицами, кроме персонала, обслуживающего восприимчивых животных, и специалистов госветслужбы;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проводить обработку восприимчивых животных инсектицидами и репеллентами согласно инструкциям по применению.</w:t>
      </w:r>
    </w:p>
    <w:p w:rsidR="0066663B" w:rsidRDefault="0066663B">
      <w:pPr>
        <w:pStyle w:val="ConsPlusNormal"/>
        <w:spacing w:before="280"/>
        <w:ind w:firstLine="540"/>
        <w:jc w:val="both"/>
      </w:pPr>
      <w:bookmarkStart w:id="3" w:name="P85"/>
      <w:bookmarkEnd w:id="3"/>
      <w:r>
        <w:t xml:space="preserve">12. </w:t>
      </w:r>
      <w:proofErr w:type="gramStart"/>
      <w:r>
        <w:t>При возникновении подозрения на АЧЛ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</w:t>
      </w:r>
      <w:proofErr w:type="gramEnd"/>
      <w:r>
        <w:t xml:space="preserve"> </w:t>
      </w:r>
      <w:proofErr w:type="gramStart"/>
      <w:r>
        <w:t>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 исполнительной</w:t>
      </w:r>
      <w:proofErr w:type="gramEnd"/>
      <w:r>
        <w:t xml:space="preserve"> </w:t>
      </w:r>
      <w:proofErr w:type="gramStart"/>
      <w:r>
        <w:t>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 должны: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>сообщить в течение 24 часов любым доступным способом о подозрении на АЧЛ должностному лицу органа исполнительной власти субъекта Российской Федерации, на территории которого расположен объект, осуществляющего переданные полномочия в области ветеринарии, или подведомственного ему учреждения;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провести отбор проб биологического и (или) патологического материала восприимчивых животных и направление проб в лабораторию.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В случае невозможности осуществления отбора проб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</w:t>
      </w:r>
      <w:r>
        <w:lastRenderedPageBreak/>
        <w:t>специалистам госветслужбы в проведении отбора проб биологического и (или) патологического материала и направлении проб в лабораторию.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6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85" w:history="1">
        <w:r>
          <w:rPr>
            <w:color w:val="0000FF"/>
          </w:rPr>
          <w:t>12</w:t>
        </w:r>
      </w:hyperlink>
      <w:r>
        <w:t xml:space="preserve"> Правил, должно сообщить о подозрении на АЧЛ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</w:t>
      </w:r>
      <w:proofErr w:type="gramEnd"/>
      <w:r>
        <w:t xml:space="preserve">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ветеринарии, о подозрении на АЧЛ.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14.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АЧЛ, в течение 24 часов должен обеспечить направление в хозяйство, в котором владельцы восприимчивых животных осуществляют их содержание (далее - предполагаемый эпизоотический очаг), специалистов госветслужбы </w:t>
      </w:r>
      <w:proofErr w:type="gramStart"/>
      <w:r>
        <w:t>для</w:t>
      </w:r>
      <w:proofErr w:type="gramEnd"/>
      <w:r>
        <w:t>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осмотра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АЧЛ, в том числе с реализованными (вывезенными) восприимчивыми животными и (или) полученной от них продукцией в течение 30 дней до получения информации о подозрении на АЧЛ;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отбора проб биологического и (или) патологического материала от подозреваемых в заболевании и трупов павших восприимчивых животных и направления проб в лабораторию.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15.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6" w:history="1">
        <w:r>
          <w:rPr>
            <w:color w:val="0000FF"/>
          </w:rPr>
          <w:t>пунктах 10</w:t>
        </w:r>
      </w:hyperlink>
      <w:r>
        <w:t xml:space="preserve"> и </w:t>
      </w:r>
      <w:hyperlink w:anchor="P85" w:history="1">
        <w:r>
          <w:rPr>
            <w:color w:val="0000FF"/>
          </w:rPr>
          <w:t>12</w:t>
        </w:r>
      </w:hyperlink>
      <w:r>
        <w:t xml:space="preserve"> Правил, должно:</w:t>
      </w:r>
    </w:p>
    <w:p w:rsidR="0066663B" w:rsidRDefault="0066663B">
      <w:pPr>
        <w:pStyle w:val="ConsPlusNormal"/>
        <w:spacing w:before="280"/>
        <w:ind w:firstLine="540"/>
        <w:jc w:val="both"/>
      </w:pPr>
      <w:proofErr w:type="gramStart"/>
      <w:r>
        <w:t>проинформировать о подозрении на АЧЛ руководителя органа местного самоуправления муниципального образования,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lastRenderedPageBreak/>
        <w:t>определить количество восприимчивых животных в хозяйствах, расположенных на территории указанного муниципального образования, а также места и порядок уничтожения трупов павших восприимчивых животных на территории указанного муниципального образования.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V. Диагностические мероприятия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r>
        <w:t>16. При возникновении подозрения на АЧЛ специалистами госветслужбы должен проводиться отбор проб биологического и (или) патологического материала в следующем порядке: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 случае если подозрение на АЧЛ возникло в изолированно содержащейся группе восприимчивых животных от 1 до 10 голов, пробы должны отбираться от каждого восприимчивого животного группы с повышенной температурой тела;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 случае если подозрение на АЧЛ возникло в группе восприимчивых животных, насчитывающей более 10 голов, пробы должны отбираться от восприимчивых животных с повышенной температурой тела, но не более 10 голов группы.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От живых восприимчивых животных отбирается кровь в объеме 5 - 6 мл.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От трупов восприимчивых животных (не более 3-х трупов) отбираются кусочки селезенки размерами 2x3 см.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Упаковка биологического и (или) патологического материала и его транспортирование должны обеспечивать сохранность материала и его пригодность для исследований в течение срока транспортировки от момента отбора до места исследования. Пробы биологического и (или) патологического материала охлаждаются, а на период транспортирования помещаются в термос со льдом или охладителем.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Утечка (рассеивание) биологического и (или) патологического материала во внешнюю среду не допускается.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Контейнеры, пакеты, емкости с биологическим и (или) патологическим материалом должны быть упакованы и опечатаны.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 сопроводительном письме должны быть указаны дата, время отбора проб, адрес места отбора проб, перечень проб, основания для подозрения на АЧЛ, адрес и контактные телефоны специалиста госветслужбы, осуществившего отбор проб.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Пробы биологического и (или) патологического материала должны быть доставлены в лабораторию специалистом госветслужбы.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17. Диагноз считается установленным, если получен один из следующих результатов: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lastRenderedPageBreak/>
        <w:t>выявлены антитела к возбудителю, не связанные с вакцинацией;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выявлен возбудитель или его генетический материал;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получена положительная биопроба.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18.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биологический и (или) патологический материал на исследования, о полученных результатах.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нормативно-правового регулирования в </w:t>
      </w:r>
      <w:proofErr w:type="gramStart"/>
      <w:r>
        <w:t>ветеринарии</w:t>
      </w:r>
      <w:proofErr w:type="gramEnd"/>
      <w:r>
        <w:t xml:space="preserve"> а также ветеринарную (ветеринарно-санитарную) службу федерального органа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при поступлении проб биологического и (или) патологического материала с объекта, подведомственного указанным органам.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19.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АЧЛ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области ветеринарии, федеральный орган исполнительной власти</w:t>
      </w:r>
      <w:proofErr w:type="gramEnd"/>
      <w:r>
        <w:t xml:space="preserve">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20. </w:t>
      </w:r>
      <w:proofErr w:type="gramStart"/>
      <w:r>
        <w:t>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Федерации, на территории которого расположен</w:t>
      </w:r>
      <w:proofErr w:type="gramEnd"/>
      <w:r>
        <w:t xml:space="preserve"> </w:t>
      </w:r>
      <w:proofErr w:type="gramStart"/>
      <w:r>
        <w:t xml:space="preserve">соответствующий объект, осуществляющего переданные полномочия в области ветеринарии, или подведомственного ему учреждения и чрезвычайной </w:t>
      </w:r>
      <w:r>
        <w:lastRenderedPageBreak/>
        <w:t xml:space="preserve">противоэпизоотической комиссией соответствующего субъекта Российской Федерации по вопросам осуществления на подведомственных объектах мероприятий, предусмотренных </w:t>
      </w:r>
      <w:hyperlink w:anchor="P126" w:history="1">
        <w:r>
          <w:rPr>
            <w:color w:val="0000FF"/>
          </w:rPr>
          <w:t>пунктами 23</w:t>
        </w:r>
      </w:hyperlink>
      <w:r>
        <w:t xml:space="preserve">, </w:t>
      </w:r>
      <w:hyperlink w:anchor="P166" w:history="1">
        <w:r>
          <w:rPr>
            <w:color w:val="0000FF"/>
          </w:rPr>
          <w:t>32</w:t>
        </w:r>
      </w:hyperlink>
      <w:r>
        <w:t xml:space="preserve">, </w:t>
      </w:r>
      <w:hyperlink w:anchor="P167" w:history="1">
        <w:r>
          <w:rPr>
            <w:color w:val="0000FF"/>
          </w:rPr>
          <w:t>33</w:t>
        </w:r>
      </w:hyperlink>
      <w:r>
        <w:t xml:space="preserve">, </w:t>
      </w:r>
      <w:hyperlink w:anchor="P170" w:history="1">
        <w:r>
          <w:rPr>
            <w:color w:val="0000FF"/>
          </w:rPr>
          <w:t>34</w:t>
        </w:r>
      </w:hyperlink>
      <w:r>
        <w:t xml:space="preserve"> Правил.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>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руководителя высшего исполнительного органа государственной власти субъекта Российской Федерации, федеральные органы исполнительной власти в области обороны, в сфере внутренних дел, в сфере деятельности войск национальной гвардии Российской</w:t>
      </w:r>
      <w:proofErr w:type="gramEnd"/>
      <w:r>
        <w:t xml:space="preserve"> Федерации, в сфере исполнения наказаний, в сфере государственной охраны и в области обеспечения безопасности.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22. 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восприимчивых животных, органы местного самоуправления муниципального образования, на территории которого располагался предполагаемый эпизоотический очаг в течение 24 часов с момента получения информации.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66663B" w:rsidRDefault="0066663B">
      <w:pPr>
        <w:pStyle w:val="ConsPlusTitle"/>
        <w:jc w:val="center"/>
      </w:pPr>
      <w:r>
        <w:t>мероприятия, направленные на ликвидацию очагов АЧЛ,</w:t>
      </w:r>
    </w:p>
    <w:p w:rsidR="0066663B" w:rsidRDefault="0066663B">
      <w:pPr>
        <w:pStyle w:val="ConsPlusTitle"/>
        <w:jc w:val="center"/>
      </w:pPr>
      <w:r>
        <w:t>а также на предотвращение ее распространения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bookmarkStart w:id="4" w:name="P126"/>
      <w:bookmarkEnd w:id="4"/>
      <w:r>
        <w:t>23.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установления диагноза должен: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66663B" w:rsidRDefault="0066663B">
      <w:pPr>
        <w:pStyle w:val="ConsPlusNormal"/>
        <w:spacing w:before="280"/>
        <w:ind w:firstLine="540"/>
        <w:jc w:val="both"/>
      </w:pPr>
      <w:proofErr w:type="gramStart"/>
      <w:r>
        <w:t xml:space="preserve">направить копию представления должностным лицам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или подведомственных им учреждений, в случае установления диагноза у восприимчивых животных, содержащихся на объектах, </w:t>
      </w:r>
      <w:r>
        <w:lastRenderedPageBreak/>
        <w:t>подведомственных, указанным органам;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>инициировать проведение заседания чрезвычайной противоэпизоотической комиссии соответствующего субъекта Российской Федерации;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его на рассмотрение высшему должностному лицу субъекта Российской Федерации;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разработать и утвердить план мероприятий по ликвидации очагов АЧЛ и предотвращения распространения возбудителя и направить его на рассмотрение высшему должностному лицу субъекта Российской Федерации.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24.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с момента его получения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Решение об установлении ограничительных мероприятий (карантина) может быть принято руководителем органа исполнительной власти субъекта Российской Федерации, осуществляющего переданные полномочия в области ветеринарии.</w:t>
      </w:r>
    </w:p>
    <w:p w:rsidR="0066663B" w:rsidRDefault="0066663B">
      <w:pPr>
        <w:pStyle w:val="ConsPlusNormal"/>
        <w:spacing w:before="280"/>
        <w:ind w:firstLine="540"/>
        <w:jc w:val="both"/>
      </w:pPr>
      <w:proofErr w:type="gramStart"/>
      <w:r>
        <w:t>Реализация мероприятий по предупреждению и ликвидации очагов АЧЛ на объектах федеральных органов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 осуществляется указанными органами во взаимодействии с органами исполнительной власти субъектов Российской Федерации, осуществляющих переданные полномочия в области ветеринарии.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25. </w:t>
      </w:r>
      <w:proofErr w:type="gramStart"/>
      <w:r>
        <w:t>В решении об установлении ограничительных мероприятий (карантина) должны быть определены хозяйство, в котором содержатся больные АЧЛ восприимчивые животные (далее - эпизоотический очаг), населенный пункт, на территории которого установлен эпизоотический очаг (далее - неблагополучный пункт) и указан перечень вводимых ограничительных мероприятий, а также срок, на который устанавливаются ограничительные мероприятия.</w:t>
      </w:r>
      <w:proofErr w:type="gramEnd"/>
    </w:p>
    <w:p w:rsidR="0066663B" w:rsidRDefault="0066663B">
      <w:pPr>
        <w:pStyle w:val="ConsPlusNormal"/>
        <w:spacing w:before="280"/>
        <w:ind w:firstLine="540"/>
        <w:jc w:val="both"/>
      </w:pPr>
      <w:r>
        <w:t>26.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27. Решением об установлении ограничительных мероприятий (карантина) </w:t>
      </w:r>
      <w:r>
        <w:lastRenderedPageBreak/>
        <w:t>вводятся ограничительные мероприятия в эпизоотическом очаге и неблагополучном пункте.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28. В эпизоотическом очаге: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запрещается: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ввоз (ввод) на территорию очага и вывоз (вывод) за его пределы восприимчивых животных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перемещение и перегруппировка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изоляция больных и подозреваемых в заболевании восприимчивых животных, защита их от кровососущих насекомых;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осмотр, термометрия всего поголовья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направление на убой больных восприимчивых животных на предприятия по убою или оборудованные для этих целей убойные пункты;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вакцинация клинически здоровых восприимчивых животных против АЧЛ соответствующей вакциной согласно инструкции по применению;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дезинсекция и дезакаризация в теплое время года (при температуре окружающей среды выше 4 °С) помещений, в которых содержатся восприимчивые животные, прилегающей территории, площадь которой определяется специалистом госветслужбы;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дезинсекция транспортных средств, используемых для перевозки восприимчивых животных, при их выезде с территории;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проведение в теплое время года (при температуре окружающей среды выше 4 °С) обработки восприимчивых животных репеллентами согласно инструкциям по применению.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 xml:space="preserve">29. Убой больных восприимчивых животных с клиническими признаками АЧЛ должен осуществляться бескровным методом. </w:t>
      </w:r>
      <w:proofErr w:type="gramStart"/>
      <w:r>
        <w:t xml:space="preserve">Продукты убоя, полученные от больных восприимчивых животных с клиническими признаками АЧЛ (кроме шкур, конского волоса), а также продукты убоя, полученные от больных восприимчивых </w:t>
      </w:r>
      <w:r>
        <w:lastRenderedPageBreak/>
        <w:t xml:space="preserve">животных без проявления клинических признаков АЧЛ (кроме мяса, шкур, конского волоса) должны быть направлены на утилизацию в соответствии с Ветеринарно-санитарными </w:t>
      </w:r>
      <w:hyperlink r:id="rId9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</w:t>
      </w:r>
      <w:proofErr w:type="gramEnd"/>
      <w:r>
        <w:t>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 сентября 2007 г., регистрационный N 10132).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Мясо, полученное от убоя больных восприимчивых животных без проявления клинических признаков АЧЛ, должно быть обеззаражено проваркой при температуре не меньше 70</w:t>
      </w:r>
      <w:proofErr w:type="gramStart"/>
      <w:r>
        <w:t xml:space="preserve"> °С</w:t>
      </w:r>
      <w:proofErr w:type="gramEnd"/>
      <w:r>
        <w:t xml:space="preserve"> в толще продукта в течение не менее 30 минут.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Шкуры должны быть подвергнуты дезинфекции. Конский волос используется без ограничений.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30.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 с круглосуточным дежурством.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31. В неблагополучном пункте: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запрещается: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ввоз (ввод) на территорию и вывоз (вывод) за ее пределы восприимчивых животных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вакцинация восприимчивых животных против АЧЛ соответствующей вакциной согласно инструкции по применению;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проведение в теплое время года (при температуре окружающей среды выше 4 °С) обработки восприимчивых животных репеллентами согласно инструкциям по применению.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Title"/>
        <w:jc w:val="center"/>
        <w:outlineLvl w:val="1"/>
      </w:pPr>
      <w:r>
        <w:t>VII. Отмена карантина и последующие ограничения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ind w:firstLine="540"/>
        <w:jc w:val="both"/>
      </w:pPr>
      <w:bookmarkStart w:id="5" w:name="P166"/>
      <w:bookmarkEnd w:id="5"/>
      <w:r>
        <w:lastRenderedPageBreak/>
        <w:t>32. Отмена карантина осуществляется через 1 год после убоя больных восприимчивых животных и проведения других мероприятий, предусмотренных Правилами.</w:t>
      </w:r>
    </w:p>
    <w:p w:rsidR="0066663B" w:rsidRDefault="0066663B">
      <w:pPr>
        <w:pStyle w:val="ConsPlusNormal"/>
        <w:spacing w:before="280"/>
        <w:ind w:firstLine="540"/>
        <w:jc w:val="both"/>
      </w:pPr>
      <w:bookmarkStart w:id="6" w:name="P167"/>
      <w:bookmarkEnd w:id="6"/>
      <w:r>
        <w:t xml:space="preserve">33.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</w:t>
      </w:r>
      <w:proofErr w:type="gramEnd"/>
      <w:r>
        <w:t xml:space="preserve"> Федерации, где был зарегистрирован эпизоотический очаг.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Решение об отмене ограничительных мероприятий (карантина) на территории субъекта Российской Федерации, где был зарегистрирован эпизоотический очаг, принимает руководитель органа исполнительной власти субъекта Российской Федерации, осуществляющего переданные полномочия в области ветеринарии, в случае принятия им решения об установлении ограничительных мероприятий (карантина).</w:t>
      </w:r>
    </w:p>
    <w:p w:rsidR="0066663B" w:rsidRDefault="0066663B">
      <w:pPr>
        <w:pStyle w:val="ConsPlusNormal"/>
        <w:spacing w:before="280"/>
        <w:ind w:firstLine="540"/>
        <w:jc w:val="both"/>
      </w:pPr>
      <w:bookmarkStart w:id="7" w:name="P170"/>
      <w:bookmarkEnd w:id="7"/>
      <w:r>
        <w:t>34. После отмены ограничительных мероприятий (карантина) на территории эпизоотического очага и неблагополучного пункта в течение 1 года запрещается: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вывоз восприимчивых животных (за исключением вывоза восприимчивых животных на убой на предприятия по убою животных или оборудованные для этих целей убойные пункты);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животных.</w:t>
      </w:r>
    </w:p>
    <w:p w:rsidR="0066663B" w:rsidRDefault="0066663B">
      <w:pPr>
        <w:pStyle w:val="ConsPlusNormal"/>
        <w:spacing w:before="280"/>
        <w:ind w:firstLine="540"/>
        <w:jc w:val="both"/>
      </w:pPr>
      <w:r>
        <w:t>На территории эпизоотического очага и неблагополучного пункта в течение 3 лет после отмены ограничительных мероприятий (карантина) осуществляется вакцинация восприимчивых животных против АЧЛ соответствующей вакциной согласно инструкции по применению.</w:t>
      </w: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jc w:val="both"/>
      </w:pPr>
    </w:p>
    <w:p w:rsidR="0066663B" w:rsidRDefault="006666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8" w:name="_GoBack"/>
      <w:bookmarkEnd w:id="8"/>
    </w:p>
    <w:sectPr w:rsidR="00E96D80" w:rsidSect="00801ACC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3B"/>
    <w:rsid w:val="0054008A"/>
    <w:rsid w:val="0066663B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3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6663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6663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663B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6663B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66663B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3BD97D801939F9E14CE10DE1EC9F6EB7DF71389B3EE6D0A4F57152DDB50530559DCB5F82D807957BU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3BD97D801939F9E14CE10DE1EC9F6EB5D671329A35E6D0A4F57152DDB50530559DCB5F82D807917BU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3BD97D801939F9E14CE10DE1EC9F6EB4D674379532E6D0A4F57152DDB50530559DCB5F82D8069C7BU0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3BD97D801939F9E14CE10DE1EC9F6EB1D774349C3DBBDAACAC7D507DU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4818</Words>
  <Characters>27464</Characters>
  <Application>Microsoft Office Word</Application>
  <DocSecurity>0</DocSecurity>
  <Lines>228</Lines>
  <Paragraphs>64</Paragraphs>
  <ScaleCrop>false</ScaleCrop>
  <Company/>
  <LinksUpToDate>false</LinksUpToDate>
  <CharactersWithSpaces>32218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2018-09-12T13:20:00Z</dcterms:created>
  <dcterms:modified xsi:type="dcterms:W3CDTF">2018-09-12T13:21:00Z</dcterms:modified>
</cp:coreProperties>
</file>