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4498" w14:textId="77777777" w:rsidR="003D3ACA" w:rsidRPr="00DA13E3" w:rsidRDefault="003D3ACA" w:rsidP="00DA13E3">
      <w:pPr>
        <w:spacing w:before="75" w:after="150" w:line="240" w:lineRule="auto"/>
        <w:jc w:val="center"/>
        <w:rPr>
          <w:rFonts w:ascii="Arial" w:eastAsia="Times New Roman" w:hAnsi="Arial" w:cs="Arial"/>
          <w:sz w:val="20"/>
          <w:szCs w:val="19"/>
          <w:u w:val="single"/>
          <w:lang w:eastAsia="ru-RU"/>
        </w:rPr>
      </w:pPr>
      <w:r w:rsidRPr="00DA13E3">
        <w:rPr>
          <w:rFonts w:ascii="Arial" w:eastAsia="Times New Roman" w:hAnsi="Arial" w:cs="Arial"/>
          <w:b/>
          <w:bCs/>
          <w:sz w:val="20"/>
          <w:szCs w:val="19"/>
          <w:u w:val="single"/>
          <w:lang w:eastAsia="ru-RU"/>
        </w:rPr>
        <w:t xml:space="preserve">ПАМЯТКА ПО </w:t>
      </w:r>
      <w:r w:rsidR="00057653" w:rsidRPr="00DA13E3">
        <w:rPr>
          <w:rFonts w:ascii="Arial" w:eastAsia="Times New Roman" w:hAnsi="Arial" w:cs="Arial"/>
          <w:b/>
          <w:bCs/>
          <w:sz w:val="20"/>
          <w:szCs w:val="19"/>
          <w:u w:val="single"/>
          <w:lang w:eastAsia="ru-RU"/>
        </w:rPr>
        <w:t xml:space="preserve">СУБСИДИИ НА </w:t>
      </w:r>
      <w:r w:rsidR="00855BD2" w:rsidRPr="00DA13E3">
        <w:rPr>
          <w:rFonts w:ascii="Arial" w:eastAsia="Times New Roman" w:hAnsi="Arial" w:cs="Arial"/>
          <w:b/>
          <w:bCs/>
          <w:sz w:val="20"/>
          <w:szCs w:val="19"/>
          <w:u w:val="single"/>
          <w:lang w:eastAsia="ru-RU"/>
        </w:rPr>
        <w:t>ФИНАНСОВОЕ ОБЕСПЕЧЕНИЕ (ВОЗМЕЩЕНИЕ) ЧАСТИ ЗАТРАТ СЕЛЬСКОХОЗЯЙСТВЕННЫМ ПОТРЕБИТЕЛЬСКИМ КООПЕРАТИВОМ</w:t>
      </w:r>
    </w:p>
    <w:p w14:paraId="2D0929F5" w14:textId="77777777" w:rsidR="00DB6052" w:rsidRPr="00DA13E3" w:rsidRDefault="00DB6052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Субсидии предоставляется в целях со финансирования понесенных затрат сельскохозяйственных потребительских кооперативов, в рамках приоритетных направлений малого агробизнеса, и поддержки сельскохозяйственных потребительских кооперативов путем предоставления средств из республиканского бюджета Республики Тыва.</w:t>
      </w:r>
    </w:p>
    <w:p w14:paraId="2A063050" w14:textId="175D1550" w:rsidR="009604A9" w:rsidRPr="00DA13E3" w:rsidRDefault="009604A9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Субсидии на развитие сельской кооперации предоставляются категориям получателей средств, являющимся сельскохозяйственными потребительскими кооперативами (</w:t>
      </w:r>
      <w:proofErr w:type="spellStart"/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СПоК</w:t>
      </w:r>
      <w:proofErr w:type="spellEnd"/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), определенными Порядком предоставления субсидии на развитие сельской кооперации.</w:t>
      </w:r>
    </w:p>
    <w:p w14:paraId="080B14D0" w14:textId="77777777" w:rsidR="00DA13E3" w:rsidRPr="00DA13E3" w:rsidRDefault="00DA13E3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Способы предоставления субсидий - возмещение недополученных доходов и (или) возмещение затрат.</w:t>
      </w:r>
    </w:p>
    <w:p w14:paraId="6907605F" w14:textId="1643EB51" w:rsidR="00DA13E3" w:rsidRPr="00DA13E3" w:rsidRDefault="00DA13E3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Субсидии предоставляются в текущем финансовом году по результатам проведения отбора получателей субсидий.</w:t>
      </w:r>
    </w:p>
    <w:p w14:paraId="4C894334" w14:textId="77777777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Средства субсидий направляются на финансовое обеспечение (возмещение) части затрат, понесенных сельскохозяйственным потребительским кооперативам в текущем финансовом году:</w:t>
      </w:r>
    </w:p>
    <w:p w14:paraId="05BEF08B" w14:textId="3626B6EF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а) связанных с приобретением имущества в целях последующей передачи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(реализации) приобретенного имущества в собственность членов (кроме ассоциированных членов) сельскохозяйственного потребительского кооператива, - в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размере, не превышающем 50 процентов затрат, но не более 3 млн. рублей из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расчета на один сельскохозяйственный потребительский кооператив. Стоимость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такого имущества, передаваемого (реализуемого) в собственность одного члена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сельскохозяйственного потребительского кооператива, не может превышать 30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процентов общей стоимости этого имущества;</w:t>
      </w:r>
    </w:p>
    <w:p w14:paraId="19DAB83E" w14:textId="7D77E22F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б) связанных с приобретением крупного рогатого скота, мелкого рогатого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скота в целях замены больных или инфицированных лейкозом, бруцеллезом, оспой сельскохозяйственных животных, принадлежащих членам (кроме ассоциированных членов) указанного сельскохозяйственного потребительского кооператива на праве собственности, - в размере, не превышающем 50 процентов затрат, но не более 10 млн. рублей из расчета на один сельскохозяйственный потребительский кооператив. Стоимость крупного рогатого скота, передаваемого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(реализуемого) в собственность одного члена сельскохозяйственного потребительского кооператива, не может превышать 30 процентов общей стоимости приобретаемого поголовья. Возраст приобретаемого крупного рогатого скота не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должен превышать 2 лет. Порядок замены принадлежащего членам (кроме ассоциированных членов) сельскохозяйственного потребительского кооператива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больного или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lastRenderedPageBreak/>
        <w:t>инфицированного лейкозом, бруцеллезом, оспой крупного рогатого скота, мелкого рогатого скота, устанавливается Министерством;</w:t>
      </w:r>
    </w:p>
    <w:p w14:paraId="24EF4043" w14:textId="0ED90A1A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в) связанных с приобретением и последующим внесением в неделимый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фонд сельскохозяйственной техники, специализированного автотранспорта,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оборудования для организации хранения, переработки, упаковки, маркировки,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транспортировки и реализации сельскохозяйственной продукции и мобильных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торговых объектов для оказания услуг членам сельскохозяйственного потребительского кооператива, - в размере, не превышающем 50 процентов затрат (если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сельскохозяйственный потребительский кооператив осуществляет деятельность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по производству органической продукции - не более 60 процентов затрат), но не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более 10 млн. рублей из расчета на один сельскохозяйственный потребительский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кооператив. Срок эксплуатации таких техники, транспорта, оборудования и объектов в году получения средств государственной поддержки не должен превышать 3 лет с года их производства;</w:t>
      </w:r>
    </w:p>
    <w:p w14:paraId="5D916E1B" w14:textId="416820A1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г) связанных с уплатой лизинговых платежей за приобретенные в лизинг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объекты для организации хранения, переработки, упаковки, маркировки и реализации сельскохозяйственной продукции, а также оборудования для их комплектации, - в размере, не превышающем 20 процентов затрат, но не более 5 млн.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рублей из расчета на один сельскохозяйственный потребительский кооператив.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В случае если источником затрат сельскохозяйственного потребительского кооператива, предусмотренных подпунктом «в» настоящего пункта, являются кредитные средства российских кредитных организаций, допускается внесение в неделимый фонд приобретенного имущества после полного погашения обязательств, предусмотренных кредитным договором, связанных с приобретением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указанных в предусмотренных подпунктом «в» настоящего пункта техники,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транспорта, оборудования и объектов;</w:t>
      </w:r>
    </w:p>
    <w:p w14:paraId="4DD4603E" w14:textId="358BAA6C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д) связанных с закупкой сельскохозяйственной продукции (кроме мяса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свиней и свиней на убой) и (или) собранных дикорастущих плодов, ягод, орехов,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грибов, других пригодных для употребления в</w:t>
      </w:r>
      <w:r w:rsidRPr="00DA13E3">
        <w:rPr>
          <w:rFonts w:ascii="Arial" w:eastAsia="Times New Roman" w:hAnsi="Arial" w:cs="Arial"/>
          <w:b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пищу лесных ресурсов (далее -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пищевые лесные ресурсы) у членов сельскохозяйственного потребительского кооператива (кроме ассоциированных членов) и (или) у граждан, ведущих личное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подсобное хозяйство, не являющихся членами этого сельскохозяйственного потребительского кооператива, - в размере, не превышающем:</w:t>
      </w:r>
    </w:p>
    <w:p w14:paraId="38644E00" w14:textId="7F36E69B" w:rsidR="008B79FF" w:rsidRPr="00DA13E3" w:rsidRDefault="008B79FF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10 процентов затрат, если выручка от реализации продукции и (или) пищевых лесных ресурсов, закупленных у членов сельскохозяйственного потребительского кооператива и (или) у граждан, ведущих личное подсобное хозяйство,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не 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200 тыс. рублей до 5000 тыс. рублей включительно;</w:t>
      </w:r>
    </w:p>
    <w:p w14:paraId="18C59C27" w14:textId="45D6EE49" w:rsidR="00DB6052" w:rsidRPr="00DA13E3" w:rsidRDefault="00DB6052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lastRenderedPageBreak/>
        <w:t>12 процентов затрат, если выручка от реализации продукции и (или) пищевых лесных ресурсов, закупленных у членов сельскохозяйственного потребительского кооператива и (или) у граждан, ведущих личное подсобное хозяйство,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не 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5001 тыс. рублей до 25000 тыс. рублей включительно;</w:t>
      </w:r>
    </w:p>
    <w:p w14:paraId="7839C297" w14:textId="0AD4AEFF" w:rsidR="00DB6052" w:rsidRPr="00DA13E3" w:rsidRDefault="00DB6052" w:rsidP="00DA13E3">
      <w:pPr>
        <w:spacing w:before="72" w:after="72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15 процентов затрат, но не более 20 млн. рублей из расчета на один сельскохозяйственный потребительский кооператив, если выручка от реализации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продукции и (или) пищевых лесных ресурсов, закупленных у членов сельскохозяйственного потребительского кооператива и (или) у граждан, ведущих личное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подсобное хозяйство, не 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 xml:space="preserve"> </w:t>
      </w: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затрат, составляет более 25000 тыс. рублей.</w:t>
      </w:r>
    </w:p>
    <w:p w14:paraId="09939D4B" w14:textId="77777777" w:rsidR="003D3ACA" w:rsidRPr="00DA13E3" w:rsidRDefault="003D3ACA" w:rsidP="00DA13E3">
      <w:pPr>
        <w:spacing w:before="72" w:after="72" w:line="240" w:lineRule="auto"/>
        <w:ind w:left="24" w:firstLine="260"/>
        <w:jc w:val="both"/>
        <w:rPr>
          <w:rFonts w:ascii="Arial" w:eastAsia="Times New Roman" w:hAnsi="Arial" w:cs="Arial"/>
          <w:b/>
          <w:sz w:val="20"/>
          <w:szCs w:val="19"/>
          <w:u w:val="single"/>
          <w:lang w:eastAsia="ru-RU"/>
        </w:rPr>
      </w:pPr>
      <w:r w:rsidRPr="00DA13E3">
        <w:rPr>
          <w:rFonts w:ascii="Arial" w:eastAsia="Times New Roman" w:hAnsi="Arial" w:cs="Arial"/>
          <w:b/>
          <w:sz w:val="20"/>
          <w:szCs w:val="19"/>
          <w:u w:val="single"/>
          <w:lang w:eastAsia="ru-RU"/>
        </w:rPr>
        <w:t>Информация, документы и материалы, представляемые в составе заявки:</w:t>
      </w:r>
    </w:p>
    <w:p w14:paraId="1758518C" w14:textId="77777777" w:rsidR="00DA13E3" w:rsidRPr="00DA13E3" w:rsidRDefault="0005765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 xml:space="preserve">копия свидетельства о постановке на учет в налоговом органе на территории </w:t>
      </w:r>
      <w:r w:rsidR="00DA13E3" w:rsidRPr="00DA13E3">
        <w:rPr>
          <w:rFonts w:ascii="Arial" w:eastAsia="Times New Roman" w:hAnsi="Arial" w:cs="Arial"/>
          <w:sz w:val="20"/>
          <w:szCs w:val="19"/>
          <w:lang w:eastAsia="ru-RU"/>
        </w:rPr>
        <w:t>документы, представляемые в составе заявки:</w:t>
      </w:r>
    </w:p>
    <w:p w14:paraId="323D175D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учредительные документы участника конкурсного отбора в редакции, действующей на дату подачи документов;</w:t>
      </w:r>
    </w:p>
    <w:p w14:paraId="6CB62AC4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документ, подтверждающий полномочия руководителя сельскохозяйственного потребительского кооператива - участника конкурсного отбора;</w:t>
      </w:r>
    </w:p>
    <w:p w14:paraId="23939532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список членов и лиц, входящих в органы управления сельскохозяйственного потребительского кооператива;</w:t>
      </w:r>
    </w:p>
    <w:p w14:paraId="6FCF5988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согласие членов и руководства участника конкурсного отбора на обработку и передачу их персональных данных;</w:t>
      </w:r>
    </w:p>
    <w:p w14:paraId="00AAA35B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справка о состоянии паевого, резервного и неделимого фондов сельскохозяйственного потребительского кооператива на месяц подачи заявки;</w:t>
      </w:r>
    </w:p>
    <w:p w14:paraId="2D4991BB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справка ревизионного союза сельскохозяйственных кооперативов о членстве участника конкурсного отбора в ревизионном союзе сельскохозяйственных</w:t>
      </w:r>
    </w:p>
    <w:p w14:paraId="7A688B32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кооперативов на месяц подачи заявки в соответствии с Федеральным законом от</w:t>
      </w:r>
    </w:p>
    <w:p w14:paraId="17B107D2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8 декабря 1995 г. № 193-ФЗ «О сельскохозяйственной кооперации»;</w:t>
      </w:r>
    </w:p>
    <w:p w14:paraId="7D85CEE3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документы, подтверждающие понесенные затраты (договоры, платежные</w:t>
      </w:r>
    </w:p>
    <w:p w14:paraId="115EE53C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документы, счета на оплату, товарные накладные и другие);</w:t>
      </w:r>
    </w:p>
    <w:p w14:paraId="008CF190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lastRenderedPageBreak/>
        <w:t>согласие налогоплательщика (плательщика страховых взносов) на признание сведений, составляющих налоговую тайну, общедоступными по форме по</w:t>
      </w:r>
    </w:p>
    <w:p w14:paraId="3A1BCEB8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КНД 1110058, утвержденной приказом Федеральной налоговой службы Российской Федерации от 14.11.2022 N ЕД-7-19/1085@;</w:t>
      </w:r>
    </w:p>
    <w:p w14:paraId="57D64588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в) согласия, представляемые при подаче заявки в процессе документооборота:</w:t>
      </w:r>
    </w:p>
    <w:p w14:paraId="52364BCB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на публикацию (размещение) в сети «Интернет» информации об участнике</w:t>
      </w:r>
    </w:p>
    <w:p w14:paraId="08069F57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отбора, о подаваемой участником отбора заявке, а также иной информации об</w:t>
      </w:r>
    </w:p>
    <w:p w14:paraId="011B7200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участнике отбора, связанной с соответствующим отбором и результатом предоставления субсидии, подаваемое посредством заполнения соответствующих</w:t>
      </w:r>
    </w:p>
    <w:p w14:paraId="14F10F9E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экранных форм системы «Электронный бюджет»;</w:t>
      </w:r>
    </w:p>
    <w:p w14:paraId="7EF0DAEA" w14:textId="77777777" w:rsidR="00DA13E3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на обработку персональных данных, подаваемое посредством заполнения</w:t>
      </w:r>
    </w:p>
    <w:p w14:paraId="4CF4B1B7" w14:textId="410B65A8" w:rsidR="00C46B86" w:rsidRPr="00DA13E3" w:rsidRDefault="00DA13E3" w:rsidP="00DA13E3">
      <w:pPr>
        <w:pStyle w:val="a5"/>
        <w:numPr>
          <w:ilvl w:val="0"/>
          <w:numId w:val="13"/>
        </w:num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соответствующих экранных форм веб-интерфейса системы «Электронный бюджет» (для физических лиц).</w:t>
      </w:r>
    </w:p>
    <w:p w14:paraId="727814AA" w14:textId="77777777" w:rsidR="00DA13E3" w:rsidRPr="00DA13E3" w:rsidRDefault="00DA13E3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bCs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bCs/>
          <w:sz w:val="20"/>
          <w:szCs w:val="19"/>
          <w:lang w:eastAsia="ru-RU"/>
        </w:rPr>
        <w:t>Информация о субсидии на затраты сельскохозяйственного потребительского кооператива размещается на едином портале предоставления мер финансовой государственной поддержки в информационно-телекоммуникационной сети «Интернет» (в разделе единого портала) (далее соответственно – сеть «Интернет», единый портал) в порядке, установленном Министерством финансов Российской Федерации.</w:t>
      </w:r>
    </w:p>
    <w:p w14:paraId="76FB33CD" w14:textId="77777777" w:rsidR="00DA13E3" w:rsidRDefault="00DA13E3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Объявление о проведении отбора размещается на едином портале, а также на официальном сайте Министерства в информационно-телекоммуникационной сети «</w:t>
      </w:r>
      <w:proofErr w:type="spellStart"/>
      <w:r w:rsidRPr="00DA13E3">
        <w:rPr>
          <w:rFonts w:ascii="Arial" w:eastAsia="Times New Roman" w:hAnsi="Arial" w:cs="Arial"/>
          <w:sz w:val="20"/>
          <w:szCs w:val="19"/>
          <w:lang w:eastAsia="ru-RU"/>
        </w:rPr>
        <w:t>Интернет»</w:t>
      </w:r>
      <w:proofErr w:type="spellEnd"/>
    </w:p>
    <w:p w14:paraId="59000405" w14:textId="1738BEC4" w:rsidR="00DA13E3" w:rsidRPr="00DA13E3" w:rsidRDefault="00DA13E3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bookmarkStart w:id="0" w:name="_GoBack"/>
      <w:bookmarkEnd w:id="0"/>
      <w:r w:rsidRPr="00DA13E3">
        <w:rPr>
          <w:rFonts w:ascii="Arial" w:eastAsia="Times New Roman" w:hAnsi="Arial" w:cs="Arial"/>
          <w:sz w:val="20"/>
          <w:szCs w:val="19"/>
          <w:lang w:eastAsia="ru-RU"/>
        </w:rPr>
        <w:t>Заявка подписывается усиленной квалифицированной электронной подписью заявителя или уполномоченного им лица.</w:t>
      </w:r>
    </w:p>
    <w:p w14:paraId="62529E08" w14:textId="77777777" w:rsidR="000810AF" w:rsidRPr="00DA13E3" w:rsidRDefault="003D3ACA" w:rsidP="00DA13E3">
      <w:pPr>
        <w:spacing w:before="150" w:after="150" w:line="240" w:lineRule="auto"/>
        <w:ind w:firstLine="284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  <w:r w:rsidRPr="00DA13E3">
        <w:rPr>
          <w:rFonts w:ascii="Arial" w:eastAsia="Times New Roman" w:hAnsi="Arial" w:cs="Arial"/>
          <w:sz w:val="20"/>
          <w:szCs w:val="19"/>
          <w:lang w:eastAsia="ru-RU"/>
        </w:rPr>
        <w:t>Для получения более подробной информации обращаться в Фонд развития фермерского бизнеса и сельскохозяйственных кооперативов Республики Тыва по адресу: г. Кызыл, ул. Московская, 2 А, тел. 3-70-63</w:t>
      </w:r>
    </w:p>
    <w:p w14:paraId="16858FF8" w14:textId="77777777" w:rsidR="00E27453" w:rsidRPr="00DA13E3" w:rsidRDefault="00E27453" w:rsidP="00DA13E3">
      <w:pPr>
        <w:spacing w:before="150" w:after="150" w:line="240" w:lineRule="auto"/>
        <w:jc w:val="both"/>
        <w:rPr>
          <w:rFonts w:ascii="Arial" w:eastAsia="Times New Roman" w:hAnsi="Arial" w:cs="Arial"/>
          <w:sz w:val="20"/>
          <w:szCs w:val="19"/>
          <w:lang w:eastAsia="ru-RU"/>
        </w:rPr>
      </w:pPr>
    </w:p>
    <w:p w14:paraId="1CF0E8A0" w14:textId="20D09707" w:rsidR="00E27453" w:rsidRPr="00DA13E3" w:rsidRDefault="00E27453" w:rsidP="00057653">
      <w:pPr>
        <w:spacing w:before="150" w:after="150" w:line="240" w:lineRule="auto"/>
        <w:jc w:val="both"/>
        <w:rPr>
          <w:rFonts w:ascii="Arial" w:hAnsi="Arial" w:cs="Arial"/>
          <w:sz w:val="19"/>
          <w:szCs w:val="19"/>
        </w:rPr>
      </w:pPr>
    </w:p>
    <w:sectPr w:rsidR="00E27453" w:rsidRPr="00DA13E3" w:rsidSect="0029008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A5D"/>
    <w:multiLevelType w:val="hybridMultilevel"/>
    <w:tmpl w:val="7CB47E84"/>
    <w:lvl w:ilvl="0" w:tplc="377AB4C4">
      <w:start w:val="1"/>
      <w:numFmt w:val="bullet"/>
      <w:lvlText w:val="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06CE2AB5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F7F70"/>
    <w:multiLevelType w:val="multilevel"/>
    <w:tmpl w:val="9B1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F2597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6163D"/>
    <w:multiLevelType w:val="hybridMultilevel"/>
    <w:tmpl w:val="C6289360"/>
    <w:lvl w:ilvl="0" w:tplc="0419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2DAE161D"/>
    <w:multiLevelType w:val="hybridMultilevel"/>
    <w:tmpl w:val="0896A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A0BC4"/>
    <w:multiLevelType w:val="hybridMultilevel"/>
    <w:tmpl w:val="3C70F792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41440BC1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B3513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F0C9A"/>
    <w:multiLevelType w:val="multilevel"/>
    <w:tmpl w:val="A8F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A5BD3"/>
    <w:multiLevelType w:val="multilevel"/>
    <w:tmpl w:val="D2C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17EA3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54818"/>
    <w:multiLevelType w:val="multilevel"/>
    <w:tmpl w:val="C762A8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74F06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011CF"/>
    <w:multiLevelType w:val="multilevel"/>
    <w:tmpl w:val="A8F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65398"/>
    <w:multiLevelType w:val="multilevel"/>
    <w:tmpl w:val="AF48E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CA"/>
    <w:rsid w:val="00057653"/>
    <w:rsid w:val="000810AF"/>
    <w:rsid w:val="00290086"/>
    <w:rsid w:val="003D3ACA"/>
    <w:rsid w:val="00407E3D"/>
    <w:rsid w:val="00475516"/>
    <w:rsid w:val="006667AD"/>
    <w:rsid w:val="00855BD2"/>
    <w:rsid w:val="008B79FF"/>
    <w:rsid w:val="009604A9"/>
    <w:rsid w:val="00AB0440"/>
    <w:rsid w:val="00B777A2"/>
    <w:rsid w:val="00C46B86"/>
    <w:rsid w:val="00C71BAA"/>
    <w:rsid w:val="00DA13E3"/>
    <w:rsid w:val="00DB6052"/>
    <w:rsid w:val="00E27453"/>
    <w:rsid w:val="00EC2C96"/>
    <w:rsid w:val="00F7075B"/>
    <w:rsid w:val="00F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90C7"/>
  <w15:chartTrackingRefBased/>
  <w15:docId w15:val="{6AA87131-4F34-4C49-B470-31522822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ACA"/>
    <w:rPr>
      <w:b/>
      <w:bCs/>
    </w:rPr>
  </w:style>
  <w:style w:type="paragraph" w:styleId="a5">
    <w:name w:val="List Paragraph"/>
    <w:basedOn w:val="a"/>
    <w:uiPriority w:val="34"/>
    <w:qFormat/>
    <w:rsid w:val="003D3A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08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A1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олчей кара-донгак</dc:creator>
  <cp:keywords/>
  <dc:description/>
  <cp:lastModifiedBy>олчей кара-донгак</cp:lastModifiedBy>
  <cp:revision>4</cp:revision>
  <cp:lastPrinted>2025-02-05T02:54:00Z</cp:lastPrinted>
  <dcterms:created xsi:type="dcterms:W3CDTF">2026-03-31T12:34:00Z</dcterms:created>
  <dcterms:modified xsi:type="dcterms:W3CDTF">2026-03-31T12:57:00Z</dcterms:modified>
</cp:coreProperties>
</file>